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096"/>
        <w:gridCol w:w="3069"/>
      </w:tblGrid>
      <w:tr w:rsidR="00025F20" w:rsidTr="0028705E">
        <w:tc>
          <w:tcPr>
            <w:tcW w:w="3336" w:type="dxa"/>
          </w:tcPr>
          <w:p w:rsidR="00025F20" w:rsidRDefault="00025F20" w:rsidP="00025F20">
            <w:pPr>
              <w:pStyle w:val="a3"/>
              <w:jc w:val="both"/>
            </w:pPr>
            <w:r>
              <w:rPr>
                <w:noProof/>
              </w:rPr>
              <w:drawing>
                <wp:inline distT="0" distB="0" distL="0" distR="0" wp14:anchorId="77F10CA0" wp14:editId="757E4C95">
                  <wp:extent cx="1981200" cy="823865"/>
                  <wp:effectExtent l="0" t="0" r="0" b="0"/>
                  <wp:docPr id="3" name="Рисунок 3" descr="C:\Users\Ekaterina\AppData\Local\Microsoft\Windows\INetCache\Content.Word\politech-logo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katerina\AppData\Local\Microsoft\Windows\INetCache\Content.Word\politech-logo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166" cy="84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025F20" w:rsidRDefault="006D5FFB" w:rsidP="006D5FFB">
            <w:pPr>
              <w:pStyle w:val="a3"/>
              <w:jc w:val="both"/>
            </w:pPr>
            <w:r>
              <w:rPr>
                <w:noProof/>
              </w:rPr>
              <w:drawing>
                <wp:inline distT="0" distB="0" distL="0" distR="0" wp14:anchorId="094CF714" wp14:editId="68AF72FC">
                  <wp:extent cx="1828800" cy="760119"/>
                  <wp:effectExtent l="0" t="0" r="0" b="1905"/>
                  <wp:docPr id="2" name="Рисунок 2" descr="C:\Users\Ekaterina\AppData\Local\Microsoft\Windows\INetCache\Content.Word\ippt-logo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katerina\AppData\Local\Microsoft\Windows\INetCache\Content.Word\ippt-logo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120" cy="76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025F20" w:rsidRDefault="006D5FFB" w:rsidP="00025F20">
            <w:pPr>
              <w:pStyle w:val="a3"/>
              <w:jc w:val="both"/>
            </w:pPr>
            <w:r>
              <w:rPr>
                <w:noProof/>
              </w:rPr>
              <w:drawing>
                <wp:inline distT="0" distB="0" distL="0" distR="0" wp14:anchorId="2DDB1AA5" wp14:editId="4999F166">
                  <wp:extent cx="1771650" cy="738816"/>
                  <wp:effectExtent l="0" t="0" r="0" b="4445"/>
                  <wp:docPr id="1" name="Рисунок 1" descr="C:\Users\Ekaterina\AppData\Local\Microsoft\Windows\INetCache\Content.Word\cml-logo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katerina\AppData\Local\Microsoft\Windows\INetCache\Content.Word\cml-logo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03" cy="74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05E" w:rsidRPr="00A228B4" w:rsidRDefault="0028705E" w:rsidP="0028705E">
      <w:pPr>
        <w:spacing w:after="120" w:line="240" w:lineRule="auto"/>
        <w:jc w:val="center"/>
        <w:rPr>
          <w:b/>
          <w:sz w:val="28"/>
          <w:szCs w:val="28"/>
        </w:rPr>
      </w:pPr>
      <w:r w:rsidRPr="00A228B4">
        <w:rPr>
          <w:b/>
          <w:sz w:val="28"/>
          <w:szCs w:val="28"/>
        </w:rPr>
        <w:t>Санкт-Петербург стал центром новых производственных технологий</w:t>
      </w:r>
    </w:p>
    <w:p w:rsidR="0028705E" w:rsidRPr="00A228B4" w:rsidRDefault="0028705E" w:rsidP="0028705E">
      <w:pPr>
        <w:spacing w:after="120" w:line="240" w:lineRule="auto"/>
        <w:jc w:val="both"/>
        <w:rPr>
          <w:sz w:val="28"/>
          <w:szCs w:val="28"/>
        </w:rPr>
      </w:pPr>
      <w:r w:rsidRPr="00A228B4">
        <w:rPr>
          <w:sz w:val="28"/>
          <w:szCs w:val="28"/>
        </w:rPr>
        <w:t xml:space="preserve">Санкт-Петербургский </w:t>
      </w:r>
      <w:r>
        <w:rPr>
          <w:sz w:val="28"/>
          <w:szCs w:val="28"/>
        </w:rPr>
        <w:t>п</w:t>
      </w:r>
      <w:r w:rsidRPr="00A228B4">
        <w:rPr>
          <w:sz w:val="28"/>
          <w:szCs w:val="28"/>
        </w:rPr>
        <w:t xml:space="preserve">олитехнический университет Петра Великого (СПбПУ) выиграл </w:t>
      </w:r>
      <w:r>
        <w:rPr>
          <w:sz w:val="28"/>
          <w:szCs w:val="28"/>
        </w:rPr>
        <w:t xml:space="preserve">Всероссийский </w:t>
      </w:r>
      <w:r w:rsidRPr="00A228B4">
        <w:rPr>
          <w:sz w:val="28"/>
          <w:szCs w:val="28"/>
        </w:rPr>
        <w:t xml:space="preserve">конкурс на </w:t>
      </w:r>
      <w:r>
        <w:rPr>
          <w:sz w:val="28"/>
          <w:szCs w:val="28"/>
        </w:rPr>
        <w:t xml:space="preserve">создание и </w:t>
      </w:r>
      <w:r w:rsidRPr="00A228B4">
        <w:rPr>
          <w:sz w:val="28"/>
          <w:szCs w:val="28"/>
        </w:rPr>
        <w:t xml:space="preserve">государственную поддержку </w:t>
      </w:r>
      <w:r w:rsidRPr="00A228B4">
        <w:rPr>
          <w:b/>
          <w:sz w:val="28"/>
          <w:szCs w:val="28"/>
        </w:rPr>
        <w:t>Центров Национальной технологической инициативы (НТИ)</w:t>
      </w:r>
      <w:r w:rsidRPr="00A228B4">
        <w:rPr>
          <w:sz w:val="28"/>
          <w:szCs w:val="28"/>
        </w:rPr>
        <w:t xml:space="preserve">. Конкурс проводился в </w:t>
      </w:r>
      <w:r>
        <w:rPr>
          <w:sz w:val="28"/>
          <w:szCs w:val="28"/>
        </w:rPr>
        <w:t>конце</w:t>
      </w:r>
      <w:r w:rsidRPr="00A228B4">
        <w:rPr>
          <w:sz w:val="28"/>
          <w:szCs w:val="28"/>
        </w:rPr>
        <w:t xml:space="preserve"> 2017 года среди вузов и научных организаций по 10 «сквозным технологиям», развитие и применение которых позволит повысить глобальную конкурентоспособность высокотехнологичных российских компаний.</w:t>
      </w:r>
    </w:p>
    <w:p w:rsidR="0028705E" w:rsidRPr="00A228B4" w:rsidRDefault="0028705E" w:rsidP="0028705E">
      <w:pPr>
        <w:spacing w:after="120" w:line="240" w:lineRule="auto"/>
        <w:jc w:val="both"/>
        <w:rPr>
          <w:sz w:val="28"/>
          <w:szCs w:val="28"/>
        </w:rPr>
      </w:pPr>
      <w:r w:rsidRPr="00A228B4">
        <w:rPr>
          <w:b/>
          <w:sz w:val="28"/>
          <w:szCs w:val="28"/>
        </w:rPr>
        <w:t>Центр НТИ на базе Института передовых производственных технологий (ИППТ) СПбПУ</w:t>
      </w:r>
      <w:r w:rsidRPr="00A228B4">
        <w:rPr>
          <w:sz w:val="28"/>
          <w:szCs w:val="28"/>
        </w:rPr>
        <w:t xml:space="preserve"> </w:t>
      </w:r>
      <w:r w:rsidRPr="00A228B4">
        <w:rPr>
          <w:b/>
          <w:sz w:val="28"/>
          <w:szCs w:val="28"/>
        </w:rPr>
        <w:t>«Новые производственные технологии»</w:t>
      </w:r>
      <w:r w:rsidRPr="00A228B4">
        <w:rPr>
          <w:sz w:val="28"/>
          <w:szCs w:val="28"/>
        </w:rPr>
        <w:t xml:space="preserve"> – единственный представитель из Санкт-Петербурга, вошедший в число 6 победителей из 70 поданных на конкурс заявок. Проект рассчитан до 2021 года, объем финансирования центров составит до</w:t>
      </w:r>
      <w:r w:rsidRPr="00A228B4">
        <w:rPr>
          <w:b/>
          <w:sz w:val="28"/>
          <w:szCs w:val="28"/>
        </w:rPr>
        <w:t xml:space="preserve"> 400 </w:t>
      </w:r>
      <w:proofErr w:type="gramStart"/>
      <w:r w:rsidRPr="00A228B4">
        <w:rPr>
          <w:b/>
          <w:sz w:val="28"/>
          <w:szCs w:val="28"/>
        </w:rPr>
        <w:t>млн</w:t>
      </w:r>
      <w:proofErr w:type="gramEnd"/>
      <w:r w:rsidRPr="00A228B4">
        <w:rPr>
          <w:b/>
          <w:sz w:val="28"/>
          <w:szCs w:val="28"/>
        </w:rPr>
        <w:t xml:space="preserve"> руб.</w:t>
      </w:r>
      <w:r w:rsidRPr="00A228B4">
        <w:rPr>
          <w:sz w:val="28"/>
          <w:szCs w:val="28"/>
        </w:rPr>
        <w:t xml:space="preserve"> в год.</w:t>
      </w:r>
    </w:p>
    <w:p w:rsidR="0028705E" w:rsidRPr="00A228B4" w:rsidRDefault="0028705E" w:rsidP="0028705E">
      <w:pPr>
        <w:spacing w:after="120" w:line="240" w:lineRule="auto"/>
        <w:jc w:val="both"/>
        <w:rPr>
          <w:sz w:val="28"/>
          <w:szCs w:val="28"/>
        </w:rPr>
      </w:pPr>
      <w:r w:rsidRPr="00A228B4">
        <w:rPr>
          <w:sz w:val="28"/>
          <w:szCs w:val="28"/>
        </w:rPr>
        <w:t xml:space="preserve">Созданные Центры НТИ должны обеспечить радикальное изменение ситуации на существующих рынках технологий, при этом каждый центр отвечает за развитие своей «сквозной </w:t>
      </w:r>
      <w:r>
        <w:rPr>
          <w:sz w:val="28"/>
          <w:szCs w:val="28"/>
        </w:rPr>
        <w:t xml:space="preserve">(актуальной для любой отрасли) </w:t>
      </w:r>
      <w:r w:rsidRPr="00A228B4">
        <w:rPr>
          <w:sz w:val="28"/>
          <w:szCs w:val="28"/>
        </w:rPr>
        <w:t xml:space="preserve">технологии». По словам директора департамента науки и технологий </w:t>
      </w:r>
      <w:proofErr w:type="spellStart"/>
      <w:r w:rsidRPr="00A228B4">
        <w:rPr>
          <w:sz w:val="28"/>
          <w:szCs w:val="28"/>
        </w:rPr>
        <w:t>Минобрнауки</w:t>
      </w:r>
      <w:proofErr w:type="spellEnd"/>
      <w:r w:rsidRPr="00A228B4">
        <w:rPr>
          <w:sz w:val="28"/>
          <w:szCs w:val="28"/>
        </w:rPr>
        <w:t xml:space="preserve"> </w:t>
      </w:r>
      <w:hyperlink r:id="rId9" w:history="1">
        <w:r w:rsidRPr="00A228B4">
          <w:rPr>
            <w:rStyle w:val="a8"/>
            <w:b/>
            <w:sz w:val="28"/>
            <w:szCs w:val="28"/>
          </w:rPr>
          <w:t>Сергея Матвеева</w:t>
        </w:r>
      </w:hyperlink>
      <w:r w:rsidRPr="00A228B4">
        <w:rPr>
          <w:sz w:val="28"/>
          <w:szCs w:val="28"/>
        </w:rPr>
        <w:t>, Центры НТИ и образованные ими консорциумы «должны стать понятной и комфортной для бизнеса «точкой входа» для получения компетенций, людей, технологических решений, для оказания услуг по разработке и апробации новых продуктов».</w:t>
      </w:r>
    </w:p>
    <w:p w:rsidR="0028705E" w:rsidRPr="00A228B4" w:rsidRDefault="0028705E" w:rsidP="0028705E">
      <w:pPr>
        <w:spacing w:after="120" w:line="240" w:lineRule="auto"/>
        <w:jc w:val="both"/>
        <w:rPr>
          <w:sz w:val="28"/>
          <w:szCs w:val="28"/>
        </w:rPr>
      </w:pPr>
      <w:r w:rsidRPr="00A228B4">
        <w:rPr>
          <w:sz w:val="28"/>
          <w:szCs w:val="28"/>
        </w:rPr>
        <w:t xml:space="preserve">Проект </w:t>
      </w:r>
      <w:r w:rsidRPr="00A228B4">
        <w:rPr>
          <w:b/>
          <w:sz w:val="28"/>
          <w:szCs w:val="28"/>
        </w:rPr>
        <w:t>Центра НТИ СПбПУ</w:t>
      </w:r>
      <w:r w:rsidRPr="00A228B4">
        <w:rPr>
          <w:sz w:val="28"/>
          <w:szCs w:val="28"/>
        </w:rPr>
        <w:t xml:space="preserve"> был поддержан рядом политиков и руководителей высокотехнологичных компаний и корпораций, среди них: Губернатор Новгородской области А.С. Никитин; Статс-секретарь – заместитель министра промышленности и торговли РФ В.Л. </w:t>
      </w:r>
      <w:proofErr w:type="spellStart"/>
      <w:r w:rsidRPr="00A228B4">
        <w:rPr>
          <w:sz w:val="28"/>
          <w:szCs w:val="28"/>
        </w:rPr>
        <w:t>Евтухов</w:t>
      </w:r>
      <w:proofErr w:type="spellEnd"/>
      <w:r w:rsidRPr="00A228B4">
        <w:rPr>
          <w:sz w:val="28"/>
          <w:szCs w:val="28"/>
        </w:rPr>
        <w:t xml:space="preserve">; депутат Государственной Думы, заместитель председателя комитета по экономической политике, промышленности, инновационному развитию и предпринимательству Д.Б. Кравченко; генеральный директор Агентства технологического развития М.Л. </w:t>
      </w:r>
      <w:proofErr w:type="spellStart"/>
      <w:r w:rsidRPr="00A228B4">
        <w:rPr>
          <w:sz w:val="28"/>
          <w:szCs w:val="28"/>
        </w:rPr>
        <w:t>Шерейкин</w:t>
      </w:r>
      <w:proofErr w:type="spellEnd"/>
      <w:r w:rsidRPr="00A228B4">
        <w:rPr>
          <w:sz w:val="28"/>
          <w:szCs w:val="28"/>
        </w:rPr>
        <w:t xml:space="preserve">; один из основателей компании </w:t>
      </w:r>
      <w:proofErr w:type="spellStart"/>
      <w:r w:rsidRPr="00A228B4">
        <w:rPr>
          <w:sz w:val="28"/>
          <w:szCs w:val="28"/>
        </w:rPr>
        <w:t>Ward</w:t>
      </w:r>
      <w:proofErr w:type="spellEnd"/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</w:rPr>
        <w:t>Howell</w:t>
      </w:r>
      <w:proofErr w:type="spellEnd"/>
      <w:r w:rsidRPr="00A228B4">
        <w:rPr>
          <w:sz w:val="28"/>
          <w:szCs w:val="28"/>
        </w:rPr>
        <w:t xml:space="preserve"> С.И. Воробьев; председатель наблюдательного совета Фонда «Институт развития им. Г.П. Щедровицкого» П.Г. Щедровицкий; директор Ассоциации кластеров и технопарков А.В. </w:t>
      </w:r>
      <w:proofErr w:type="spellStart"/>
      <w:r w:rsidRPr="00A228B4">
        <w:rPr>
          <w:sz w:val="28"/>
          <w:szCs w:val="28"/>
        </w:rPr>
        <w:t>Шпиленко</w:t>
      </w:r>
      <w:proofErr w:type="spellEnd"/>
      <w:r w:rsidRPr="00A228B4">
        <w:rPr>
          <w:sz w:val="28"/>
          <w:szCs w:val="28"/>
        </w:rPr>
        <w:t>; генеральный директор Центра управления проектами в промышленности В.А. Пастухов</w:t>
      </w:r>
      <w:r>
        <w:rPr>
          <w:sz w:val="28"/>
          <w:szCs w:val="28"/>
        </w:rPr>
        <w:t>;</w:t>
      </w:r>
      <w:r w:rsidRPr="00A228B4">
        <w:rPr>
          <w:sz w:val="28"/>
          <w:szCs w:val="28"/>
        </w:rPr>
        <w:t xml:space="preserve"> вице-президент </w:t>
      </w:r>
      <w:proofErr w:type="spellStart"/>
      <w:r w:rsidRPr="00A228B4">
        <w:rPr>
          <w:sz w:val="28"/>
          <w:szCs w:val="28"/>
        </w:rPr>
        <w:t>Siemens</w:t>
      </w:r>
      <w:proofErr w:type="spellEnd"/>
      <w:r w:rsidRPr="00A228B4">
        <w:rPr>
          <w:sz w:val="28"/>
          <w:szCs w:val="28"/>
        </w:rPr>
        <w:t xml:space="preserve"> в России, директор департамента корпоративных технологий д-р Мартин </w:t>
      </w:r>
      <w:proofErr w:type="spellStart"/>
      <w:r w:rsidRPr="00A228B4">
        <w:rPr>
          <w:sz w:val="28"/>
          <w:szCs w:val="28"/>
        </w:rPr>
        <w:t>Гитзельс</w:t>
      </w:r>
      <w:proofErr w:type="spellEnd"/>
      <w:r w:rsidRPr="00A228B4">
        <w:rPr>
          <w:sz w:val="28"/>
          <w:szCs w:val="28"/>
        </w:rPr>
        <w:t xml:space="preserve"> и другие.</w:t>
      </w:r>
    </w:p>
    <w:p w:rsidR="0028705E" w:rsidRPr="00A228B4" w:rsidRDefault="0028705E" w:rsidP="0028705E">
      <w:pPr>
        <w:spacing w:after="120" w:line="240" w:lineRule="auto"/>
        <w:jc w:val="both"/>
        <w:rPr>
          <w:sz w:val="28"/>
          <w:szCs w:val="28"/>
        </w:rPr>
      </w:pPr>
      <w:r w:rsidRPr="00A228B4">
        <w:rPr>
          <w:sz w:val="28"/>
          <w:szCs w:val="28"/>
        </w:rPr>
        <w:t xml:space="preserve">Впечатляющий консорциум, собранный для реализации задач Центра НТИ СПбПУ, помимо </w:t>
      </w:r>
      <w:r>
        <w:rPr>
          <w:sz w:val="28"/>
          <w:szCs w:val="28"/>
        </w:rPr>
        <w:t>лидера проекта</w:t>
      </w:r>
      <w:r w:rsidRPr="00A228B4">
        <w:rPr>
          <w:sz w:val="28"/>
          <w:szCs w:val="28"/>
        </w:rPr>
        <w:t xml:space="preserve"> СПбПУ, включает еще </w:t>
      </w:r>
      <w:r w:rsidRPr="00A228B4">
        <w:rPr>
          <w:b/>
          <w:sz w:val="28"/>
          <w:szCs w:val="28"/>
        </w:rPr>
        <w:t>33</w:t>
      </w:r>
      <w:r w:rsidRPr="00A228B4">
        <w:rPr>
          <w:sz w:val="28"/>
          <w:szCs w:val="28"/>
        </w:rPr>
        <w:t xml:space="preserve"> участника: 12 </w:t>
      </w:r>
      <w:r w:rsidRPr="00A228B4">
        <w:rPr>
          <w:sz w:val="28"/>
          <w:szCs w:val="28"/>
        </w:rPr>
        <w:lastRenderedPageBreak/>
        <w:t xml:space="preserve">университетов (МГУ, СПбГУ, МИЭТ, </w:t>
      </w:r>
      <w:proofErr w:type="spellStart"/>
      <w:r w:rsidRPr="00A228B4">
        <w:rPr>
          <w:sz w:val="28"/>
          <w:szCs w:val="28"/>
        </w:rPr>
        <w:t>ЮУрГУ</w:t>
      </w:r>
      <w:proofErr w:type="spellEnd"/>
      <w:r w:rsidRPr="00A228B4">
        <w:rPr>
          <w:sz w:val="28"/>
          <w:szCs w:val="28"/>
        </w:rPr>
        <w:t xml:space="preserve">, ПНИПУ, </w:t>
      </w:r>
      <w:proofErr w:type="spellStart"/>
      <w:r w:rsidRPr="00A228B4">
        <w:rPr>
          <w:sz w:val="28"/>
          <w:szCs w:val="28"/>
        </w:rPr>
        <w:t>Сколтех</w:t>
      </w:r>
      <w:proofErr w:type="spellEnd"/>
      <w:r w:rsidRPr="00A228B4">
        <w:rPr>
          <w:sz w:val="28"/>
          <w:szCs w:val="28"/>
        </w:rPr>
        <w:t xml:space="preserve">, </w:t>
      </w:r>
      <w:proofErr w:type="spellStart"/>
      <w:r w:rsidRPr="00A228B4">
        <w:rPr>
          <w:sz w:val="28"/>
          <w:szCs w:val="28"/>
        </w:rPr>
        <w:t>Иннополис</w:t>
      </w:r>
      <w:proofErr w:type="spellEnd"/>
      <w:r w:rsidRPr="00A228B4">
        <w:rPr>
          <w:sz w:val="28"/>
          <w:szCs w:val="28"/>
        </w:rPr>
        <w:t xml:space="preserve"> и др.); </w:t>
      </w:r>
      <w:proofErr w:type="spellStart"/>
      <w:r w:rsidRPr="00A228B4">
        <w:rPr>
          <w:sz w:val="28"/>
          <w:szCs w:val="28"/>
        </w:rPr>
        <w:t>Госкорпорация</w:t>
      </w:r>
      <w:proofErr w:type="spellEnd"/>
      <w:r w:rsidRPr="00A228B4">
        <w:rPr>
          <w:sz w:val="28"/>
          <w:szCs w:val="28"/>
        </w:rPr>
        <w:t xml:space="preserve"> «</w:t>
      </w:r>
      <w:proofErr w:type="spellStart"/>
      <w:r w:rsidRPr="00A228B4">
        <w:rPr>
          <w:sz w:val="28"/>
          <w:szCs w:val="28"/>
        </w:rPr>
        <w:t>Ростех</w:t>
      </w:r>
      <w:proofErr w:type="spellEnd"/>
      <w:r w:rsidRPr="00A228B4">
        <w:rPr>
          <w:sz w:val="28"/>
          <w:szCs w:val="28"/>
        </w:rPr>
        <w:t xml:space="preserve">» (холдинг «Вертолеты России», ОДК, КАМАЗ, АВТОВАЗ, РТ Академия и др.); 8 крупных промышленных высокотехнологичных предприятий (Ульяновский автомобильный завод, Средне-Невский судостроительный завод,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УК «Наука и инновации» </w:t>
      </w:r>
      <w:proofErr w:type="spellStart"/>
      <w:r w:rsidRPr="00A228B4">
        <w:rPr>
          <w:sz w:val="28"/>
          <w:szCs w:val="28"/>
        </w:rPr>
        <w:t>госкорпораци</w:t>
      </w:r>
      <w:r>
        <w:rPr>
          <w:sz w:val="28"/>
          <w:szCs w:val="28"/>
        </w:rPr>
        <w:t>и</w:t>
      </w:r>
      <w:proofErr w:type="spellEnd"/>
      <w:r w:rsidRPr="00A228B4">
        <w:rPr>
          <w:sz w:val="28"/>
          <w:szCs w:val="28"/>
        </w:rPr>
        <w:t xml:space="preserve"> «</w:t>
      </w:r>
      <w:proofErr w:type="spellStart"/>
      <w:r w:rsidRPr="00A228B4">
        <w:rPr>
          <w:sz w:val="28"/>
          <w:szCs w:val="28"/>
        </w:rPr>
        <w:t>Росатом</w:t>
      </w:r>
      <w:proofErr w:type="spellEnd"/>
      <w:r w:rsidRPr="00A228B4">
        <w:rPr>
          <w:sz w:val="28"/>
          <w:szCs w:val="28"/>
        </w:rPr>
        <w:t xml:space="preserve">», Казанское моторостроительное производственное объединение, ЛЕНПОЛИГРАФМАШ); наукоемкая инновационная компания </w:t>
      </w:r>
      <w:proofErr w:type="spellStart"/>
      <w:r w:rsidRPr="00A228B4">
        <w:rPr>
          <w:sz w:val="28"/>
          <w:szCs w:val="28"/>
        </w:rPr>
        <w:t>Faberlic</w:t>
      </w:r>
      <w:proofErr w:type="spellEnd"/>
      <w:r w:rsidRPr="00A228B4">
        <w:rPr>
          <w:sz w:val="28"/>
          <w:szCs w:val="28"/>
        </w:rPr>
        <w:t>; Российский Федеральный ядерный центр «РФЯЦ-ВНИИЭФ»; Китайский центр автомобильных технологий и исследований (CATARC); высокотехнологичные компании-лидеры, «национальные чемпионы»: «</w:t>
      </w:r>
      <w:proofErr w:type="spellStart"/>
      <w:r w:rsidRPr="00A228B4">
        <w:rPr>
          <w:sz w:val="28"/>
          <w:szCs w:val="28"/>
        </w:rPr>
        <w:t>Биокад</w:t>
      </w:r>
      <w:proofErr w:type="spellEnd"/>
      <w:r w:rsidRPr="00A228B4">
        <w:rPr>
          <w:sz w:val="28"/>
          <w:szCs w:val="28"/>
        </w:rPr>
        <w:t>», «</w:t>
      </w:r>
      <w:proofErr w:type="spellStart"/>
      <w:r w:rsidRPr="00A228B4">
        <w:rPr>
          <w:sz w:val="28"/>
          <w:szCs w:val="28"/>
        </w:rPr>
        <w:t>Диаконт</w:t>
      </w:r>
      <w:proofErr w:type="spellEnd"/>
      <w:r w:rsidRPr="00A228B4">
        <w:rPr>
          <w:sz w:val="28"/>
          <w:szCs w:val="28"/>
        </w:rPr>
        <w:t>», Лаборатория «Вычислительная механика» (CompMechLab); институты развития: Фонд «Центр стратегических разработок «Северо-Запад» и Технопарк Санкт-Петербурга.</w:t>
      </w:r>
    </w:p>
    <w:p w:rsidR="0028705E" w:rsidRPr="00A228B4" w:rsidRDefault="0028705E" w:rsidP="0028705E">
      <w:pPr>
        <w:spacing w:after="120" w:line="240" w:lineRule="auto"/>
        <w:jc w:val="both"/>
        <w:rPr>
          <w:sz w:val="28"/>
          <w:szCs w:val="28"/>
        </w:rPr>
      </w:pPr>
      <w:r w:rsidRPr="00A228B4">
        <w:rPr>
          <w:sz w:val="28"/>
          <w:szCs w:val="28"/>
        </w:rPr>
        <w:t>«В СПбПУ создан испытательный полигон «</w:t>
      </w:r>
      <w:r w:rsidRPr="00A228B4">
        <w:rPr>
          <w:b/>
          <w:sz w:val="28"/>
          <w:szCs w:val="28"/>
        </w:rPr>
        <w:t>Фабрики Будущего</w:t>
      </w:r>
      <w:r w:rsidRPr="00A228B4">
        <w:rPr>
          <w:sz w:val="28"/>
          <w:szCs w:val="28"/>
        </w:rPr>
        <w:t>» (</w:t>
      </w:r>
      <w:r w:rsidRPr="00A228B4">
        <w:rPr>
          <w:sz w:val="28"/>
          <w:szCs w:val="28"/>
          <w:lang w:val="en-US"/>
        </w:rPr>
        <w:t>CML</w:t>
      </w:r>
      <w:r w:rsidRPr="00A228B4">
        <w:rPr>
          <w:sz w:val="28"/>
          <w:szCs w:val="28"/>
        </w:rPr>
        <w:t xml:space="preserve"> </w:t>
      </w:r>
      <w:proofErr w:type="spellStart"/>
      <w:r w:rsidRPr="00A228B4">
        <w:rPr>
          <w:sz w:val="28"/>
          <w:szCs w:val="28"/>
          <w:lang w:val="en-US"/>
        </w:rPr>
        <w:t>FoF</w:t>
      </w:r>
      <w:proofErr w:type="spellEnd"/>
      <w:r w:rsidRPr="00A228B4">
        <w:rPr>
          <w:sz w:val="28"/>
          <w:szCs w:val="28"/>
        </w:rPr>
        <w:t xml:space="preserve">), который наглядно демонстрирует применение </w:t>
      </w:r>
      <w:r>
        <w:rPr>
          <w:sz w:val="28"/>
          <w:szCs w:val="28"/>
        </w:rPr>
        <w:t>передовых</w:t>
      </w:r>
      <w:r w:rsidRPr="00A228B4">
        <w:rPr>
          <w:sz w:val="28"/>
          <w:szCs w:val="28"/>
        </w:rPr>
        <w:t xml:space="preserve"> технологий, функционирование Цифровых, «Умных» и Виртуальных Фабрик Будущего, а также реализацию модели «</w:t>
      </w:r>
      <w:r w:rsidRPr="00A228B4">
        <w:rPr>
          <w:b/>
          <w:sz w:val="28"/>
          <w:szCs w:val="28"/>
        </w:rPr>
        <w:t>Университета 4.0</w:t>
      </w:r>
      <w:r w:rsidRPr="00A228B4">
        <w:rPr>
          <w:sz w:val="28"/>
          <w:szCs w:val="28"/>
        </w:rPr>
        <w:t xml:space="preserve">». Суть этой модели в том, что студенты получают уникальные компетенции в процессе </w:t>
      </w:r>
      <w:r>
        <w:rPr>
          <w:sz w:val="28"/>
          <w:szCs w:val="28"/>
        </w:rPr>
        <w:t>вы</w:t>
      </w:r>
      <w:r w:rsidRPr="00A228B4">
        <w:rPr>
          <w:sz w:val="28"/>
          <w:szCs w:val="28"/>
        </w:rPr>
        <w:t xml:space="preserve">полнения проектов, нацеленных на </w:t>
      </w:r>
      <w:r w:rsidRPr="00A228B4">
        <w:rPr>
          <w:bCs/>
          <w:sz w:val="28"/>
          <w:szCs w:val="28"/>
          <w:lang w:eastAsia="ru-RU"/>
        </w:rPr>
        <w:t xml:space="preserve">решение глобальных наукоемких проблем современной высокотехнологичной промышленности, которые сама промышленность решить не может», – говорит руководитель Центра НТИ СПбПУ, проректор по перспективным проектам СПбПУ </w:t>
      </w:r>
      <w:r w:rsidRPr="00A228B4">
        <w:rPr>
          <w:b/>
          <w:bCs/>
          <w:sz w:val="28"/>
          <w:szCs w:val="28"/>
          <w:lang w:eastAsia="ru-RU"/>
        </w:rPr>
        <w:t>Алексей Боровков</w:t>
      </w:r>
      <w:r w:rsidRPr="00A228B4">
        <w:rPr>
          <w:sz w:val="28"/>
          <w:szCs w:val="28"/>
        </w:rPr>
        <w:t>.</w:t>
      </w:r>
    </w:p>
    <w:p w:rsidR="0028705E" w:rsidRPr="00A228B4" w:rsidRDefault="0028705E" w:rsidP="0028705E">
      <w:pPr>
        <w:spacing w:after="120" w:line="240" w:lineRule="auto"/>
        <w:jc w:val="both"/>
        <w:rPr>
          <w:sz w:val="28"/>
          <w:szCs w:val="28"/>
        </w:rPr>
      </w:pPr>
      <w:proofErr w:type="gramStart"/>
      <w:r w:rsidRPr="00A228B4">
        <w:rPr>
          <w:sz w:val="28"/>
          <w:szCs w:val="28"/>
        </w:rPr>
        <w:t>Направления деятельности Центра НТИ СПбПУ соответствуют ключевым целям и задачам НТИ, Стратегии научно-технологического развития РФ</w:t>
      </w:r>
      <w:r>
        <w:rPr>
          <w:sz w:val="28"/>
          <w:szCs w:val="28"/>
        </w:rPr>
        <w:t xml:space="preserve"> и</w:t>
      </w:r>
      <w:r w:rsidRPr="00A228B4">
        <w:rPr>
          <w:sz w:val="28"/>
          <w:szCs w:val="28"/>
        </w:rPr>
        <w:t xml:space="preserve"> государственной программы «Цифровая экономика Российской Федерации»: цифровая трансформация бизнес-моделей и бизнес-процессов, цифровое проектирование и моделирование, разработка «цифровых двойников» изделий и производственных процессов, аддитивные технологии, разработка и применение новых материалов</w:t>
      </w:r>
      <w:r>
        <w:rPr>
          <w:sz w:val="28"/>
          <w:szCs w:val="28"/>
        </w:rPr>
        <w:t>, робототехника, «большие данные», промышленный интернет</w:t>
      </w:r>
      <w:r w:rsidRPr="00A228B4">
        <w:rPr>
          <w:sz w:val="28"/>
          <w:szCs w:val="28"/>
        </w:rPr>
        <w:t xml:space="preserve"> и др</w:t>
      </w:r>
      <w:r>
        <w:rPr>
          <w:sz w:val="28"/>
          <w:szCs w:val="28"/>
        </w:rPr>
        <w:t>угие</w:t>
      </w:r>
      <w:r w:rsidRPr="00A228B4">
        <w:rPr>
          <w:sz w:val="28"/>
          <w:szCs w:val="28"/>
        </w:rPr>
        <w:t>.</w:t>
      </w:r>
      <w:proofErr w:type="gramEnd"/>
    </w:p>
    <w:p w:rsidR="00505436" w:rsidRPr="0028705E" w:rsidRDefault="0028705E" w:rsidP="0028705E">
      <w:pPr>
        <w:spacing w:after="120" w:line="240" w:lineRule="auto"/>
        <w:jc w:val="both"/>
        <w:rPr>
          <w:sz w:val="28"/>
          <w:szCs w:val="28"/>
        </w:rPr>
      </w:pPr>
      <w:r w:rsidRPr="00A228B4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A228B4">
        <w:rPr>
          <w:sz w:val="28"/>
          <w:szCs w:val="28"/>
        </w:rPr>
        <w:t xml:space="preserve"> деятельности </w:t>
      </w:r>
      <w:r w:rsidRPr="00A228B4">
        <w:rPr>
          <w:b/>
          <w:sz w:val="28"/>
          <w:szCs w:val="28"/>
        </w:rPr>
        <w:t>Центра НТИ СПбПУ</w:t>
      </w:r>
      <w:r>
        <w:rPr>
          <w:sz w:val="28"/>
          <w:szCs w:val="28"/>
        </w:rPr>
        <w:t xml:space="preserve"> буду</w:t>
      </w:r>
      <w:r w:rsidRPr="00A228B4">
        <w:rPr>
          <w:sz w:val="28"/>
          <w:szCs w:val="28"/>
        </w:rPr>
        <w:t>т выражен</w:t>
      </w:r>
      <w:r>
        <w:rPr>
          <w:sz w:val="28"/>
          <w:szCs w:val="28"/>
        </w:rPr>
        <w:t>ы</w:t>
      </w:r>
      <w:r w:rsidRPr="00A228B4">
        <w:rPr>
          <w:sz w:val="28"/>
          <w:szCs w:val="28"/>
        </w:rPr>
        <w:t xml:space="preserve"> в сотнях реальных промышленных </w:t>
      </w:r>
      <w:r>
        <w:rPr>
          <w:sz w:val="28"/>
          <w:szCs w:val="28"/>
        </w:rPr>
        <w:t>проектов</w:t>
      </w:r>
      <w:r w:rsidRPr="00A228B4">
        <w:rPr>
          <w:sz w:val="28"/>
          <w:szCs w:val="28"/>
        </w:rPr>
        <w:t>, тысячах подготовленных специалистов мирового уровня и развитии научно-технологического потенциала российской промышленности.</w:t>
      </w:r>
      <w:bookmarkStart w:id="0" w:name="_GoBack"/>
      <w:bookmarkEnd w:id="0"/>
    </w:p>
    <w:sectPr w:rsidR="00505436" w:rsidRPr="0028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6E1"/>
    <w:multiLevelType w:val="hybridMultilevel"/>
    <w:tmpl w:val="3AC4C036"/>
    <w:lvl w:ilvl="0" w:tplc="F1A26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B0986"/>
    <w:multiLevelType w:val="multilevel"/>
    <w:tmpl w:val="25D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819F2"/>
    <w:multiLevelType w:val="hybridMultilevel"/>
    <w:tmpl w:val="3B185080"/>
    <w:lvl w:ilvl="0" w:tplc="F1A261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0A1424"/>
    <w:multiLevelType w:val="hybridMultilevel"/>
    <w:tmpl w:val="BB6A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35"/>
    <w:rsid w:val="00025F20"/>
    <w:rsid w:val="0028705E"/>
    <w:rsid w:val="00312CE4"/>
    <w:rsid w:val="00505436"/>
    <w:rsid w:val="005826E9"/>
    <w:rsid w:val="006809E6"/>
    <w:rsid w:val="006D5FFB"/>
    <w:rsid w:val="007F2DE4"/>
    <w:rsid w:val="00B80D05"/>
    <w:rsid w:val="00D75282"/>
    <w:rsid w:val="00F0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436"/>
    <w:pPr>
      <w:ind w:left="720"/>
      <w:contextualSpacing/>
    </w:pPr>
  </w:style>
  <w:style w:type="paragraph" w:customStyle="1" w:styleId="text-justify">
    <w:name w:val="text-justify"/>
    <w:basedOn w:val="a"/>
    <w:rsid w:val="00D7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9E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870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436"/>
    <w:pPr>
      <w:ind w:left="720"/>
      <w:contextualSpacing/>
    </w:pPr>
  </w:style>
  <w:style w:type="paragraph" w:customStyle="1" w:styleId="text-justify">
    <w:name w:val="text-justify"/>
    <w:basedOn w:val="a"/>
    <w:rsid w:val="00D7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9E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87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ss.ru/opinions/interviews/4765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Golubeva</dc:creator>
  <cp:lastModifiedBy>Dmitry Shamansky</cp:lastModifiedBy>
  <cp:revision>3</cp:revision>
  <dcterms:created xsi:type="dcterms:W3CDTF">2018-01-23T14:32:00Z</dcterms:created>
  <dcterms:modified xsi:type="dcterms:W3CDTF">2018-01-23T14:32:00Z</dcterms:modified>
</cp:coreProperties>
</file>